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0"/>
          <w:szCs w:val="30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1"/>
          <w:szCs w:val="31"/>
          <w:bdr w:val="none" w:color="auto" w:sz="0" w:space="0"/>
        </w:rPr>
        <w:t>具备免税资格的非营利组织名单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5082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单      位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免税期限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山东省企业技术创新促进会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山东省区域能源学会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山东省服务型制造发展促进会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山东省生态环境保护促进会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山东省中小企业数字化转型服务商协会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山东省图书馆学会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山东省教育基本建设学会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山东省绍兴商会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山东省涉水文化遗产保护研究学会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山东丰华慈善基金会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山东省转化医学学会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山东省企业技术改造促进会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山东省麻风皮肤病防治协会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山东省学前教育学会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山东省国土空间规划协会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山东省学校卫生协会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山东省标识解析行业协会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山东省平台经济协会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山东省珠宝商会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潍坊市铭仁文化发展基金会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2023—2027年度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山东光明慈善救助基金会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山东省地质学会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山东泰山文化研究院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山东省啤酒工业协会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山东省爱聋手语研究中心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山东省医学会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山东省大健康精准医疗产业技术研究院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山东省钢结构行业协会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山东师范大学教育基金会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山东农业工程学院教育发展基金会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山东外事职业大学教育基金会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山东大学校友会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山东新动能建筑双碳科技研究院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山东师大基础教育集团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山东省武训教育基金会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山东省公安民警优抚基金会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山东省友泰公益慈善基金会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山东省动物保健品协会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山东省新能源产业协会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山东省中小企业协会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山东省农药行业协会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山东省白酒协会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山东省中易卫生文化发展中心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山东省长期护理保险协会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山东省畜牧协会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山东省护理学会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青岛大学教育发展基金会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山东省融资担保企业协会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山东省金融学会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山东金融业联合会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山东省饲料行业协会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山东省人工智能学会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山东省北京大学校友会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山东省齐鲁工业大学教育发展基金会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山东省普觉公益基金会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山东省应急产业协会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山东省疼痛医学会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淄博市见义勇为基金会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山东省紫藤花助学服务中心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山东省瞪羚企业发展促进会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山东省园林绿化行业协会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山东省知识产权服务业协会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山东省康复医学会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山东省市政行业协会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山东省煤炭行业协会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山东省工业设计协会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山东省扬善仁体彩慈善基金会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山东省城镇供排水协会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山东省卫生保健协会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5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山东省公共资源交易协会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2024—2028年度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60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6640"/>
    <w:rsid w:val="4D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2024-05-31T09:22:00Z</dcterms:created>
  <dc:creator>Administrator</dc:creator>
  <cp:lastModifiedBy>Administrator</cp:lastModifiedBy>
  <dcterms:modified xsi:type="dcterms:W3CDTF">2024-05-31T09:23:31Z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