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spacing w:line="570" w:lineRule="exact"/>
        <w:jc w:val="center"/>
        <w:textAlignment w:val="auto"/>
        <w:rPr>
          <w:rFonts w:ascii="宋体"/>
          <w:color w:val="000000"/>
          <w:sz w:val="44"/>
          <w:szCs w:val="44"/>
        </w:rPr>
      </w:pPr>
    </w:p>
    <w:p>
      <w:pPr>
        <w:pStyle w:val="6"/>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b w:val="0"/>
          <w:bCs w:val="0"/>
          <w:i w:val="0"/>
          <w:caps w:val="0"/>
          <w:color w:val="000000"/>
          <w:spacing w:val="0"/>
          <w:sz w:val="44"/>
          <w:szCs w:val="44"/>
          <w:u w:val="none"/>
          <w:shd w:val="clear" w:fill="FFFFFF"/>
        </w:rPr>
      </w:pPr>
      <w:bookmarkStart w:id="0" w:name="_GoBack"/>
      <w:r>
        <w:rPr>
          <w:rFonts w:hint="eastAsia" w:ascii="方正小标宋简体" w:hAnsi="方正小标宋简体" w:eastAsia="方正小标宋简体" w:cs="方正小标宋简体"/>
          <w:b w:val="0"/>
          <w:bCs w:val="0"/>
          <w:i w:val="0"/>
          <w:caps w:val="0"/>
          <w:color w:val="000000"/>
          <w:spacing w:val="0"/>
          <w:sz w:val="44"/>
          <w:szCs w:val="44"/>
          <w:u w:val="none"/>
          <w:shd w:val="clear" w:fill="FFFFFF"/>
        </w:rPr>
        <w:t>第</w:t>
      </w:r>
      <w:r>
        <w:rPr>
          <w:rFonts w:hint="eastAsia" w:ascii="方正小标宋简体" w:hAnsi="方正小标宋简体" w:eastAsia="方正小标宋简体" w:cs="方正小标宋简体"/>
          <w:b w:val="0"/>
          <w:bCs w:val="0"/>
          <w:i w:val="0"/>
          <w:caps w:val="0"/>
          <w:color w:val="000000"/>
          <w:spacing w:val="0"/>
          <w:sz w:val="44"/>
          <w:szCs w:val="44"/>
          <w:u w:val="none"/>
          <w:shd w:val="clear" w:fill="FFFFFF"/>
          <w:lang w:val="en-US" w:eastAsia="zh-CN"/>
        </w:rPr>
        <w:t>19</w:t>
      </w:r>
      <w:r>
        <w:rPr>
          <w:rFonts w:hint="eastAsia" w:ascii="方正小标宋简体" w:hAnsi="方正小标宋简体" w:eastAsia="方正小标宋简体" w:cs="方正小标宋简体"/>
          <w:b w:val="0"/>
          <w:bCs w:val="0"/>
          <w:i w:val="0"/>
          <w:caps w:val="0"/>
          <w:color w:val="000000"/>
          <w:spacing w:val="0"/>
          <w:sz w:val="44"/>
          <w:szCs w:val="44"/>
          <w:u w:val="none"/>
          <w:shd w:val="clear" w:fill="FFFFFF"/>
        </w:rPr>
        <w:t>次</w:t>
      </w:r>
      <w:r>
        <w:rPr>
          <w:rFonts w:hint="eastAsia" w:ascii="方正小标宋简体" w:hAnsi="方正小标宋简体" w:eastAsia="方正小标宋简体" w:cs="方正小标宋简体"/>
          <w:b w:val="0"/>
          <w:bCs w:val="0"/>
          <w:i w:val="0"/>
          <w:caps w:val="0"/>
          <w:color w:val="000000"/>
          <w:spacing w:val="0"/>
          <w:sz w:val="44"/>
          <w:szCs w:val="44"/>
          <w:u w:val="none"/>
          <w:shd w:val="clear" w:fill="FFFFFF"/>
          <w:lang w:val="en-US" w:eastAsia="zh-CN"/>
        </w:rPr>
        <w:t>县</w:t>
      </w:r>
      <w:r>
        <w:rPr>
          <w:rFonts w:hint="eastAsia" w:ascii="方正小标宋简体" w:hAnsi="方正小标宋简体" w:eastAsia="方正小标宋简体" w:cs="方正小标宋简体"/>
          <w:b w:val="0"/>
          <w:bCs w:val="0"/>
          <w:i w:val="0"/>
          <w:caps w:val="0"/>
          <w:color w:val="000000"/>
          <w:spacing w:val="0"/>
          <w:sz w:val="44"/>
          <w:szCs w:val="44"/>
          <w:u w:val="none"/>
          <w:shd w:val="clear" w:fill="FFFFFF"/>
        </w:rPr>
        <w:t>政府常务会议议题解读</w:t>
      </w:r>
    </w:p>
    <w:bookmarkEnd w:id="0"/>
    <w:p>
      <w:pPr>
        <w:pStyle w:val="6"/>
        <w:keepNext w:val="0"/>
        <w:keepLines w:val="0"/>
        <w:pageBreakBefore w:val="0"/>
        <w:widowControl/>
        <w:kinsoku/>
        <w:wordWrap/>
        <w:overflowPunct/>
        <w:topLinePunct w:val="0"/>
        <w:autoSpaceDE/>
        <w:autoSpaceDN/>
        <w:bidi w:val="0"/>
        <w:spacing w:line="570" w:lineRule="exact"/>
        <w:ind w:firstLine="880" w:firstLineChars="200"/>
        <w:jc w:val="both"/>
        <w:textAlignment w:val="auto"/>
        <w:rPr>
          <w:rFonts w:hint="eastAsia" w:ascii="宋体" w:hAnsi="宋体" w:eastAsia="宋体" w:cs="宋体"/>
          <w:b w:val="0"/>
          <w:bCs w:val="0"/>
          <w:i w:val="0"/>
          <w:caps w:val="0"/>
          <w:color w:val="000000"/>
          <w:spacing w:val="0"/>
          <w:sz w:val="44"/>
          <w:szCs w:val="44"/>
          <w:u w:val="none"/>
          <w:shd w:val="clear" w:fill="FFFFFF"/>
        </w:rPr>
      </w:pPr>
    </w:p>
    <w:p>
      <w:pPr>
        <w:pStyle w:val="6"/>
        <w:keepNext w:val="0"/>
        <w:keepLines w:val="0"/>
        <w:pageBreakBefore w:val="0"/>
        <w:widowControl/>
        <w:kinsoku/>
        <w:wordWrap/>
        <w:overflowPunct/>
        <w:topLinePunct w:val="0"/>
        <w:autoSpaceDE/>
        <w:autoSpaceDN/>
        <w:bidi w:val="0"/>
        <w:spacing w:line="57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lang w:val="en-US" w:eastAsia="zh-CN"/>
        </w:rPr>
        <w:t>6月8日</w:t>
      </w:r>
      <w:r>
        <w:rPr>
          <w:rFonts w:hint="eastAsia" w:ascii="仿宋_GB2312" w:hAnsi="仿宋_GB2312" w:eastAsia="仿宋_GB2312" w:cs="仿宋_GB2312"/>
          <w:color w:val="000000"/>
          <w:sz w:val="32"/>
          <w:szCs w:val="32"/>
          <w:lang w:val="en-US" w:eastAsia="zh-CN"/>
        </w:rPr>
        <w:t>，</w:t>
      </w:r>
      <w:r>
        <w:rPr>
          <w:rFonts w:hint="eastAsia" w:ascii="仿宋_GB2312" w:eastAsia="仿宋_GB2312"/>
          <w:snapToGrid w:val="0"/>
          <w:color w:val="000000"/>
          <w:spacing w:val="0"/>
          <w:kern w:val="0"/>
          <w:sz w:val="32"/>
          <w:szCs w:val="32"/>
          <w:lang w:eastAsia="zh-CN"/>
        </w:rPr>
        <w:t>县委常委、常务副县长宋自立</w:t>
      </w:r>
      <w:r>
        <w:rPr>
          <w:rFonts w:hint="eastAsia" w:ascii="仿宋_GB2312" w:hAnsi="仿宋_GB2312" w:eastAsia="仿宋_GB2312" w:cs="仿宋_GB2312"/>
          <w:color w:val="000000"/>
          <w:sz w:val="32"/>
          <w:szCs w:val="32"/>
          <w:lang w:val="en-US" w:eastAsia="zh-CN"/>
        </w:rPr>
        <w:t>主持召开县政府第19次常务会议，听取了县人社、工信等部门情况汇报，研究如下事项：</w:t>
      </w:r>
    </w:p>
    <w:p>
      <w:pPr>
        <w:keepNext w:val="0"/>
        <w:keepLines w:val="0"/>
        <w:pageBreakBefore w:val="0"/>
        <w:numPr>
          <w:ilvl w:val="0"/>
          <w:numId w:val="0"/>
        </w:numPr>
        <w:kinsoku/>
        <w:wordWrap/>
        <w:overflowPunct/>
        <w:topLinePunct w:val="0"/>
        <w:autoSpaceDE/>
        <w:autoSpaceDN/>
        <w:bidi w:val="0"/>
        <w:adjustRightInd w:val="0"/>
        <w:snapToGrid w:val="0"/>
        <w:spacing w:line="570" w:lineRule="exact"/>
        <w:ind w:leftChars="0"/>
        <w:textAlignment w:val="auto"/>
        <w:rPr>
          <w:rFonts w:hint="eastAsia" w:ascii="仿宋_GB2312" w:hAnsi="Calibri" w:eastAsia="仿宋_GB2312" w:cs="Times New Roman"/>
          <w:b w:val="0"/>
          <w:bCs w:val="0"/>
          <w:snapToGrid w:val="0"/>
          <w:spacing w:val="0"/>
          <w:kern w:val="0"/>
          <w:sz w:val="32"/>
          <w:szCs w:val="32"/>
          <w:lang w:val="en-US" w:eastAsia="zh-CN" w:bidi="ar-SA"/>
        </w:rPr>
      </w:pPr>
      <w:r>
        <w:rPr>
          <w:rFonts w:hint="eastAsia" w:ascii="仿宋_GB2312" w:hAnsi="仿宋_GB2312" w:eastAsia="仿宋_GB2312" w:cs="仿宋_GB2312"/>
          <w:sz w:val="32"/>
          <w:lang w:val="en-US" w:eastAsia="zh-CN"/>
        </w:rPr>
        <w:t>现将议题解读如下：</w:t>
      </w:r>
      <w:r>
        <w:rPr>
          <w:rFonts w:hint="default" w:ascii="仿宋_GB2312" w:hAnsi="仿宋_GB2312" w:eastAsia="仿宋_GB2312" w:cs="仿宋_GB2312"/>
          <w:sz w:val="32"/>
          <w:lang w:val="en-US"/>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65405</wp:posOffset>
                </wp:positionV>
                <wp:extent cx="5400040" cy="1693545"/>
                <wp:effectExtent l="12700" t="12700" r="16510" b="27305"/>
                <wp:wrapSquare wrapText="bothSides"/>
                <wp:docPr id="5" name="圆角矩形 5"/>
                <wp:cNvGraphicFramePr/>
                <a:graphic xmlns:a="http://schemas.openxmlformats.org/drawingml/2006/main">
                  <a:graphicData uri="http://schemas.microsoft.com/office/word/2010/wordprocessingShape">
                    <wps:wsp>
                      <wps:cNvSpPr/>
                      <wps:spPr>
                        <a:xfrm>
                          <a:off x="1433195" y="3765550"/>
                          <a:ext cx="5400040" cy="16935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研究讨论《东明县人才新政20条》</w:t>
                            </w:r>
                          </w:p>
                          <w:p>
                            <w:pPr>
                              <w:rPr>
                                <w:rFonts w:hint="eastAsia" w:ascii="黑体" w:hAnsi="黑体" w:eastAsia="黑体" w:cs="Times New Roman"/>
                                <w:kern w:val="2"/>
                                <w:sz w:val="32"/>
                                <w:szCs w:val="32"/>
                                <w:lang w:val="en-US" w:eastAsia="zh-CN" w:bidi="ar-SA"/>
                              </w:rPr>
                            </w:pPr>
                            <w:r>
                              <w:rPr>
                                <w:rFonts w:hint="eastAsia" w:ascii="黑体" w:hAnsi="黑体" w:cs="Times New Roman"/>
                                <w:kern w:val="2"/>
                                <w:sz w:val="32"/>
                                <w:szCs w:val="32"/>
                                <w:lang w:val="en-US" w:eastAsia="zh-CN" w:bidi="ar-SA"/>
                              </w:rPr>
                              <w:t>二</w:t>
                            </w:r>
                            <w:r>
                              <w:rPr>
                                <w:rFonts w:hint="eastAsia" w:ascii="黑体" w:hAnsi="黑体" w:eastAsia="黑体" w:cs="Times New Roman"/>
                                <w:kern w:val="2"/>
                                <w:sz w:val="32"/>
                                <w:szCs w:val="32"/>
                                <w:lang w:val="en-US" w:eastAsia="zh-CN" w:bidi="ar-SA"/>
                              </w:rPr>
                              <w:t>、关于安全生产工作</w:t>
                            </w:r>
                          </w:p>
                          <w:p>
                            <w:pPr>
                              <w:pStyle w:val="2"/>
                              <w:ind w:left="0" w:leftChars="0" w:firstLine="0" w:firstLineChars="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三、关于工业经济运行工作</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9pt;margin-top:5.15pt;height:133.35pt;width:425.2pt;mso-wrap-distance-bottom:0pt;mso-wrap-distance-left:9pt;mso-wrap-distance-right:9pt;mso-wrap-distance-top:0pt;z-index:251659264;v-text-anchor:middle;mso-width-relative:page;mso-height-relative:page;" fillcolor="#4F81BD [3204]" filled="t" stroked="t" coordsize="21600,21600" arcsize="0.166666666666667" o:gfxdata="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W1ZF12QAAAAkBAAAPAAAAAAAAAAEAIAAAACIAAABkcnMvZG93bnJldi54bWxQSwEC&#10;FAAUAAAACACHTuJA+uhpqJ4CAAAhBQAADgAAAAAAAAABACAAAAAoAQAAZHJzL2Uyb0RvYy54bWxQ&#10;SwUGAAAAAAYABgBZAQAAOAYAAAAA&#10;">
                <v:fill on="t" focussize="0,0"/>
                <v:stroke weight="2pt" color="#385D8A [3204]" joinstyle="round"/>
                <v:imagedata o:title=""/>
                <o:lock v:ext="edit" aspectratio="f"/>
                <v:textbox>
                  <w:txbxContent>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研究讨论《东明县人才新政20条》</w:t>
                      </w:r>
                    </w:p>
                    <w:p>
                      <w:pPr>
                        <w:rPr>
                          <w:rFonts w:hint="eastAsia" w:ascii="黑体" w:hAnsi="黑体" w:eastAsia="黑体" w:cs="Times New Roman"/>
                          <w:kern w:val="2"/>
                          <w:sz w:val="32"/>
                          <w:szCs w:val="32"/>
                          <w:lang w:val="en-US" w:eastAsia="zh-CN" w:bidi="ar-SA"/>
                        </w:rPr>
                      </w:pPr>
                      <w:r>
                        <w:rPr>
                          <w:rFonts w:hint="eastAsia" w:ascii="黑体" w:hAnsi="黑体" w:cs="Times New Roman"/>
                          <w:kern w:val="2"/>
                          <w:sz w:val="32"/>
                          <w:szCs w:val="32"/>
                          <w:lang w:val="en-US" w:eastAsia="zh-CN" w:bidi="ar-SA"/>
                        </w:rPr>
                        <w:t>二</w:t>
                      </w:r>
                      <w:r>
                        <w:rPr>
                          <w:rFonts w:hint="eastAsia" w:ascii="黑体" w:hAnsi="黑体" w:eastAsia="黑体" w:cs="Times New Roman"/>
                          <w:kern w:val="2"/>
                          <w:sz w:val="32"/>
                          <w:szCs w:val="32"/>
                          <w:lang w:val="en-US" w:eastAsia="zh-CN" w:bidi="ar-SA"/>
                        </w:rPr>
                        <w:t>、关于安全生产工作</w:t>
                      </w:r>
                    </w:p>
                    <w:p>
                      <w:pPr>
                        <w:pStyle w:val="2"/>
                        <w:ind w:left="0" w:leftChars="0" w:firstLine="0" w:firstLineChars="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三、关于工业经济运行工作</w:t>
                      </w:r>
                    </w:p>
                    <w:p>
                      <w:pPr>
                        <w:rPr>
                          <w:rFonts w:hint="default"/>
                          <w:lang w:val="en-US" w:eastAsia="zh-CN"/>
                        </w:rPr>
                      </w:pPr>
                    </w:p>
                  </w:txbxContent>
                </v:textbox>
                <w10:wrap type="square"/>
              </v:roundrect>
            </w:pict>
          </mc:Fallback>
        </mc:AlternateContent>
      </w:r>
    </w:p>
    <w:p>
      <w:pPr>
        <w:keepNext w:val="0"/>
        <w:keepLines w:val="0"/>
        <w:pageBreakBefore w:val="0"/>
        <w:kinsoku/>
        <w:wordWrap/>
        <w:overflowPunct/>
        <w:topLinePunct w:val="0"/>
        <w:autoSpaceDE/>
        <w:autoSpaceDN/>
        <w:bidi w:val="0"/>
        <w:spacing w:line="570" w:lineRule="exact"/>
        <w:textAlignment w:val="auto"/>
        <w:rPr>
          <w:rFonts w:hint="eastAsia" w:ascii="仿宋_GB2312" w:hAnsi="仿宋_GB2312" w:eastAsia="仿宋_GB2312" w:cs="仿宋_GB2312"/>
          <w:spacing w:val="0"/>
          <w:kern w:val="0"/>
          <w:sz w:val="32"/>
          <w:szCs w:val="40"/>
          <w:lang w:val="en-US" w:eastAsia="zh-CN"/>
        </w:rPr>
      </w:pPr>
      <w:r>
        <w:rPr>
          <w:rFonts w:eastAsia="宋体"/>
          <w:sz w:val="32"/>
        </w:rPr>
        <mc:AlternateContent>
          <mc:Choice Requires="wps">
            <w:drawing>
              <wp:anchor distT="0" distB="0" distL="114300" distR="114300" simplePos="0" relativeHeight="251662336" behindDoc="0" locked="0" layoutInCell="1" allowOverlap="1">
                <wp:simplePos x="0" y="0"/>
                <wp:positionH relativeFrom="column">
                  <wp:posOffset>409575</wp:posOffset>
                </wp:positionH>
                <wp:positionV relativeFrom="paragraph">
                  <wp:posOffset>151765</wp:posOffset>
                </wp:positionV>
                <wp:extent cx="3630295" cy="445135"/>
                <wp:effectExtent l="4445" t="4445" r="22860" b="7620"/>
                <wp:wrapNone/>
                <wp:docPr id="11" name="文本框 11"/>
                <wp:cNvGraphicFramePr/>
                <a:graphic xmlns:a="http://schemas.openxmlformats.org/drawingml/2006/main">
                  <a:graphicData uri="http://schemas.microsoft.com/office/word/2010/wordprocessingShape">
                    <wps:wsp>
                      <wps:cNvSpPr txBox="1"/>
                      <wps:spPr>
                        <a:xfrm>
                          <a:off x="1724660" y="3002280"/>
                          <a:ext cx="3630295" cy="445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color w:val="4F81BD" w:themeColor="accent1"/>
                                <w:sz w:val="32"/>
                                <w:szCs w:val="32"/>
                                <w:u w:val="none"/>
                                <w:lang w:val="en-US" w:eastAsia="zh-CN"/>
                                <w14:textFill>
                                  <w14:solidFill>
                                    <w14:schemeClr w14:val="accent1"/>
                                  </w14:solidFill>
                                </w14:textFill>
                              </w:rPr>
                            </w:pPr>
                            <w:r>
                              <w:rPr>
                                <w:rFonts w:hint="eastAsia" w:ascii="黑体" w:hAnsi="黑体" w:eastAsia="黑体" w:cs="黑体"/>
                                <w:color w:val="4F81BD" w:themeColor="accent1"/>
                                <w:sz w:val="32"/>
                                <w:szCs w:val="32"/>
                                <w:u w:val="none"/>
                                <w:lang w:val="en-US" w:eastAsia="zh-CN"/>
                                <w14:textFill>
                                  <w14:solidFill>
                                    <w14:schemeClr w14:val="accent1"/>
                                  </w14:solidFill>
                                </w14:textFill>
                              </w:rPr>
                              <w:t>一、研究讨论《东明县人才新政20条》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25pt;margin-top:11.95pt;height:35.05pt;width:285.85pt;z-index:251662336;mso-width-relative:page;mso-height-relative:page;" fillcolor="#FFFFFF [3201]" filled="t" stroked="t" coordsize="21600,21600" o:gfxdata="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LD2rtUAAAAIAQAADwAAAAAAAAABACAAAAAiAAAAZHJzL2Rvd25yZXYueG1sUEsB&#10;AhQAFAAAAAgAh07iQNjloCZqAgAA0wQAAA4AAAAAAAAAAQAgAAAAJAEAAGRycy9lMm9Eb2MueG1s&#10;UEsFBgAAAAAGAAYAWQEAAAAGAAAAAA==&#10;">
                <v:fill on="t" focussize="0,0"/>
                <v:stroke weight="0.5pt" color="#000000 [3204]" joinstyle="round"/>
                <v:imagedata o:title=""/>
                <o:lock v:ext="edit" aspectratio="f"/>
                <v:textbox>
                  <w:txbxContent>
                    <w:p>
                      <w:pPr>
                        <w:rPr>
                          <w:rFonts w:hint="eastAsia" w:ascii="黑体" w:hAnsi="黑体" w:eastAsia="黑体" w:cs="黑体"/>
                          <w:color w:val="4F81BD" w:themeColor="accent1"/>
                          <w:sz w:val="32"/>
                          <w:szCs w:val="32"/>
                          <w:u w:val="none"/>
                          <w:lang w:val="en-US" w:eastAsia="zh-CN"/>
                          <w14:textFill>
                            <w14:solidFill>
                              <w14:schemeClr w14:val="accent1"/>
                            </w14:solidFill>
                          </w14:textFill>
                        </w:rPr>
                      </w:pPr>
                      <w:r>
                        <w:rPr>
                          <w:rFonts w:hint="eastAsia" w:ascii="黑体" w:hAnsi="黑体" w:eastAsia="黑体" w:cs="黑体"/>
                          <w:color w:val="4F81BD" w:themeColor="accent1"/>
                          <w:sz w:val="32"/>
                          <w:szCs w:val="32"/>
                          <w:u w:val="none"/>
                          <w:lang w:val="en-US" w:eastAsia="zh-CN"/>
                          <w14:textFill>
                            <w14:solidFill>
                              <w14:schemeClr w14:val="accent1"/>
                            </w14:solidFill>
                          </w14:textFill>
                        </w:rPr>
                        <w:t>一、研究讨论《东明县人才新政20条》</w:t>
                      </w:r>
                    </w:p>
                  </w:txbxContent>
                </v:textbox>
              </v:shape>
            </w:pict>
          </mc:Fallback>
        </mc:AlternateContent>
      </w:r>
    </w:p>
    <w:p>
      <w:pPr>
        <w:pStyle w:val="6"/>
        <w:keepNext w:val="0"/>
        <w:keepLines w:val="0"/>
        <w:pageBreakBefore w:val="0"/>
        <w:widowControl/>
        <w:tabs>
          <w:tab w:val="left" w:pos="7416"/>
        </w:tabs>
        <w:kinsoku/>
        <w:wordWrap/>
        <w:overflowPunct/>
        <w:topLinePunct w:val="0"/>
        <w:autoSpaceDE/>
        <w:autoSpaceDN/>
        <w:bidi w:val="0"/>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tabs>
          <w:tab w:val="left" w:pos="7416"/>
        </w:tabs>
        <w:kinsoku/>
        <w:wordWrap/>
        <w:overflowPunct/>
        <w:topLinePunct w:val="0"/>
        <w:autoSpaceDE/>
        <w:autoSpaceDN/>
        <w:bidi w:val="0"/>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原则同意县委组织部门提报的《东明县人才新政20条》。会议确定，各级各部门要认真研究、厘清悟透、用好用足人才新政策，吸引更多优秀人才落户东明，为全县经济社会高质量发展提供坚强人才保障和智力支撑。县人社部门要积极与县委组织部门对接沟通，进一步完善人才引进机制，确保各项政策落地落实。</w:t>
      </w:r>
    </w:p>
    <w:p>
      <w:pPr>
        <w:pStyle w:val="6"/>
        <w:keepNext w:val="0"/>
        <w:keepLines w:val="0"/>
        <w:pageBreakBefore w:val="0"/>
        <w:widowControl/>
        <w:tabs>
          <w:tab w:val="left" w:pos="7416"/>
        </w:tabs>
        <w:kinsoku/>
        <w:wordWrap/>
        <w:overflowPunct/>
        <w:topLinePunct w:val="0"/>
        <w:autoSpaceDE/>
        <w:autoSpaceDN/>
        <w:bidi w:val="0"/>
        <w:spacing w:line="570" w:lineRule="exact"/>
        <w:jc w:val="both"/>
        <w:textAlignment w:val="auto"/>
        <w:rPr>
          <w:rFonts w:hint="eastAsia" w:ascii="仿宋_GB2312" w:hAnsi="仿宋_GB2312" w:eastAsia="仿宋_GB2312" w:cs="仿宋_GB2312"/>
          <w:sz w:val="32"/>
          <w:szCs w:val="32"/>
          <w:lang w:val="en-US" w:eastAsia="zh-CN"/>
        </w:rPr>
      </w:pPr>
      <w:r>
        <w:rPr>
          <w:rFonts w:eastAsia="宋体"/>
          <w:sz w:val="32"/>
        </w:rPr>
        <mc:AlternateContent>
          <mc:Choice Requires="wps">
            <w:drawing>
              <wp:anchor distT="0" distB="0" distL="114300" distR="114300" simplePos="0" relativeHeight="251660288" behindDoc="0" locked="0" layoutInCell="1" allowOverlap="1">
                <wp:simplePos x="0" y="0"/>
                <wp:positionH relativeFrom="column">
                  <wp:posOffset>408305</wp:posOffset>
                </wp:positionH>
                <wp:positionV relativeFrom="paragraph">
                  <wp:posOffset>54610</wp:posOffset>
                </wp:positionV>
                <wp:extent cx="3630295" cy="445135"/>
                <wp:effectExtent l="4445" t="4445" r="22860" b="7620"/>
                <wp:wrapNone/>
                <wp:docPr id="4" name="文本框 4"/>
                <wp:cNvGraphicFramePr/>
                <a:graphic xmlns:a="http://schemas.openxmlformats.org/drawingml/2006/main">
                  <a:graphicData uri="http://schemas.microsoft.com/office/word/2010/wordprocessingShape">
                    <wps:wsp>
                      <wps:cNvSpPr txBox="1"/>
                      <wps:spPr>
                        <a:xfrm>
                          <a:off x="1556385" y="2203450"/>
                          <a:ext cx="3630295" cy="445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both"/>
                              <w:rPr>
                                <w:rFonts w:eastAsia="宋体"/>
                              </w:rPr>
                            </w:pPr>
                            <w:r>
                              <w:rPr>
                                <w:rFonts w:hint="eastAsia" w:ascii="黑体" w:hAnsi="黑体" w:eastAsia="黑体" w:cs="黑体"/>
                                <w:color w:val="4F81BD" w:themeColor="accent1"/>
                                <w:sz w:val="32"/>
                                <w:szCs w:val="32"/>
                                <w:u w:val="none"/>
                                <w:lang w:val="en-US" w:eastAsia="zh-CN"/>
                                <w14:textFill>
                                  <w14:solidFill>
                                    <w14:schemeClr w14:val="accent1"/>
                                  </w14:solidFill>
                                </w14:textFill>
                              </w:rPr>
                              <w:t>二</w:t>
                            </w:r>
                            <w:r>
                              <w:rPr>
                                <w:rFonts w:hint="eastAsia" w:ascii="黑体" w:hAnsi="黑体" w:eastAsia="黑体" w:cs="黑体"/>
                                <w:color w:val="4F81BD" w:themeColor="accent1"/>
                                <w:sz w:val="32"/>
                                <w:szCs w:val="32"/>
                                <w:u w:val="none"/>
                                <w:lang w:eastAsia="zh-CN"/>
                                <w14:textFill>
                                  <w14:solidFill>
                                    <w14:schemeClr w14:val="accent1"/>
                                  </w14:solidFill>
                                </w14:textFill>
                              </w:rPr>
                              <w:t>、</w:t>
                            </w:r>
                            <w:r>
                              <w:rPr>
                                <w:rFonts w:hint="eastAsia" w:ascii="黑体" w:hAnsi="黑体" w:eastAsia="黑体" w:cs="黑体"/>
                                <w:color w:val="4F81BD" w:themeColor="accent1"/>
                                <w:sz w:val="32"/>
                                <w:szCs w:val="32"/>
                                <w:u w:val="none"/>
                                <w:lang w:val="en-US" w:eastAsia="zh-CN"/>
                                <w14:textFill>
                                  <w14:solidFill>
                                    <w14:schemeClr w14:val="accent1"/>
                                  </w14:solidFill>
                                </w14:textFill>
                              </w:rPr>
                              <w:t>关于安全生产工作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5pt;margin-top:4.3pt;height:35.05pt;width:285.85pt;z-index:251660288;mso-width-relative:page;mso-height-relative:page;" fillcolor="#FFFFFF [3201]" filled="t" stroked="t" coordsize="21600,21600" o:gfxdata="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n2rz91QAAAAgBAAAPAAAAAAAAAAEAIAAAACIAAABkcnMvZG93bnJldi54bWxQSwEC&#10;FAAUAAAACACHTuJAOlIyZmkCAADRBAAADgAAAAAAAAABACAAAAAkAQAAZHJzL2Uyb0RvYy54bWxQ&#10;SwUGAAAAAAYABgBZAQAA/wUAAAAA&#10;">
                <v:fill on="t" focussize="0,0"/>
                <v:stroke weight="0.5pt" color="#000000 [3204]" joinstyle="round"/>
                <v:imagedata o:title=""/>
                <o:lock v:ext="edit" aspectratio="f"/>
                <v:textbox>
                  <w:txbxContent>
                    <w:p>
                      <w:pPr>
                        <w:jc w:val="both"/>
                        <w:rPr>
                          <w:rFonts w:eastAsia="宋体"/>
                        </w:rPr>
                      </w:pPr>
                      <w:r>
                        <w:rPr>
                          <w:rFonts w:hint="eastAsia" w:ascii="黑体" w:hAnsi="黑体" w:eastAsia="黑体" w:cs="黑体"/>
                          <w:color w:val="4F81BD" w:themeColor="accent1"/>
                          <w:sz w:val="32"/>
                          <w:szCs w:val="32"/>
                          <w:u w:val="none"/>
                          <w:lang w:val="en-US" w:eastAsia="zh-CN"/>
                          <w14:textFill>
                            <w14:solidFill>
                              <w14:schemeClr w14:val="accent1"/>
                            </w14:solidFill>
                          </w14:textFill>
                        </w:rPr>
                        <w:t>二</w:t>
                      </w:r>
                      <w:r>
                        <w:rPr>
                          <w:rFonts w:hint="eastAsia" w:ascii="黑体" w:hAnsi="黑体" w:eastAsia="黑体" w:cs="黑体"/>
                          <w:color w:val="4F81BD" w:themeColor="accent1"/>
                          <w:sz w:val="32"/>
                          <w:szCs w:val="32"/>
                          <w:u w:val="none"/>
                          <w:lang w:eastAsia="zh-CN"/>
                          <w14:textFill>
                            <w14:solidFill>
                              <w14:schemeClr w14:val="accent1"/>
                            </w14:solidFill>
                          </w14:textFill>
                        </w:rPr>
                        <w:t>、</w:t>
                      </w:r>
                      <w:r>
                        <w:rPr>
                          <w:rFonts w:hint="eastAsia" w:ascii="黑体" w:hAnsi="黑体" w:eastAsia="黑体" w:cs="黑体"/>
                          <w:color w:val="4F81BD" w:themeColor="accent1"/>
                          <w:sz w:val="32"/>
                          <w:szCs w:val="32"/>
                          <w:u w:val="none"/>
                          <w:lang w:val="en-US" w:eastAsia="zh-CN"/>
                          <w14:textFill>
                            <w14:solidFill>
                              <w14:schemeClr w14:val="accent1"/>
                            </w14:solidFill>
                          </w14:textFill>
                        </w:rPr>
                        <w:t>关于安全生产工作</w:t>
                      </w:r>
                    </w:p>
                  </w:txbxContent>
                </v:textbox>
              </v:shape>
            </w:pict>
          </mc:Fallback>
        </mc:AlternateContent>
      </w:r>
    </w:p>
    <w:p>
      <w:pPr>
        <w:pStyle w:val="6"/>
        <w:keepNext w:val="0"/>
        <w:keepLines w:val="0"/>
        <w:pageBreakBefore w:val="0"/>
        <w:widowControl/>
        <w:tabs>
          <w:tab w:val="left" w:pos="7416"/>
        </w:tabs>
        <w:kinsoku/>
        <w:wordWrap/>
        <w:overflowPunct/>
        <w:topLinePunct w:val="0"/>
        <w:autoSpaceDE/>
        <w:autoSpaceDN/>
        <w:bidi w:val="0"/>
        <w:spacing w:line="57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u w:val="none"/>
          <w:lang w:val="en-US" w:eastAsia="zh-CN"/>
        </w:rPr>
        <w:t>会议确定，</w:t>
      </w:r>
      <w:r>
        <w:rPr>
          <w:rFonts w:hint="eastAsia" w:ascii="楷体_GB2312" w:hAnsi="楷体_GB2312" w:eastAsia="楷体_GB2312" w:cs="楷体_GB2312"/>
          <w:b/>
          <w:bCs/>
          <w:color w:val="auto"/>
          <w:sz w:val="32"/>
          <w:szCs w:val="32"/>
          <w:u w:val="none"/>
          <w:lang w:val="en-US" w:eastAsia="zh-CN"/>
        </w:rPr>
        <w:t>（一）汲取安全事故教训。</w:t>
      </w:r>
      <w:r>
        <w:rPr>
          <w:rFonts w:hint="eastAsia" w:ascii="仿宋_GB2312" w:hAnsi="仿宋_GB2312" w:eastAsia="仿宋_GB2312" w:cs="仿宋_GB2312"/>
          <w:color w:val="auto"/>
          <w:sz w:val="32"/>
          <w:szCs w:val="32"/>
          <w:u w:val="none"/>
          <w:lang w:val="en-US" w:eastAsia="zh-CN"/>
        </w:rPr>
        <w:t>各级各部门要深刻汲取“6.21宁夏银川燃气爆炸”“8.13潍坊高密燃气爆炸”“8.15菏泽郓城吊篮高处倾覆”等一系列安全事故教训，举一反三、引以为戒，建立健全长效安全防控机制。</w:t>
      </w:r>
      <w:r>
        <w:rPr>
          <w:rFonts w:hint="eastAsia" w:ascii="楷体_GB2312" w:hAnsi="楷体_GB2312" w:eastAsia="楷体_GB2312" w:cs="楷体_GB2312"/>
          <w:b/>
          <w:bCs/>
          <w:color w:val="auto"/>
          <w:sz w:val="32"/>
          <w:szCs w:val="32"/>
          <w:u w:val="none"/>
          <w:lang w:val="en-US" w:eastAsia="zh-CN"/>
        </w:rPr>
        <w:t>（二）压实安全生产责任。</w:t>
      </w:r>
      <w:r>
        <w:rPr>
          <w:rFonts w:hint="eastAsia" w:ascii="仿宋_GB2312" w:hAnsi="仿宋_GB2312" w:eastAsia="仿宋_GB2312" w:cs="仿宋_GB2312"/>
          <w:spacing w:val="-6"/>
          <w:kern w:val="0"/>
          <w:sz w:val="32"/>
          <w:szCs w:val="32"/>
          <w:lang w:eastAsia="zh-CN"/>
        </w:rPr>
        <w:t>县政府各分管负责同志要树牢“管行业必须管安全”的工作理念，</w:t>
      </w:r>
      <w:r>
        <w:rPr>
          <w:rFonts w:hint="eastAsia" w:ascii="仿宋_GB2312" w:hAnsi="仿宋_GB2312" w:eastAsia="仿宋_GB2312" w:cs="仿宋_GB2312"/>
          <w:color w:val="auto"/>
          <w:sz w:val="32"/>
          <w:szCs w:val="32"/>
          <w:u w:val="none"/>
          <w:lang w:val="en-US" w:eastAsia="zh-CN"/>
        </w:rPr>
        <w:t>严格落实安全生产“一岗双责”工作要求，在抓好分管工作的同时，进一步细化分工、明确责任</w:t>
      </w:r>
      <w:r>
        <w:rPr>
          <w:rFonts w:hint="default" w:ascii="仿宋_GB2312" w:hAnsi="仿宋_GB2312" w:eastAsia="仿宋_GB2312" w:cs="仿宋_GB2312"/>
          <w:snapToGrid w:val="0"/>
          <w:spacing w:val="6"/>
          <w:kern w:val="0"/>
          <w:sz w:val="32"/>
          <w:szCs w:val="32"/>
          <w:lang w:val="en-US" w:eastAsia="zh-CN"/>
        </w:rPr>
        <w:t>,确保各项安全生产要求落实到位</w:t>
      </w:r>
      <w:r>
        <w:rPr>
          <w:rFonts w:hint="eastAsia" w:ascii="仿宋_GB2312" w:hAnsi="仿宋_GB2312" w:eastAsia="仿宋_GB2312" w:cs="仿宋_GB2312"/>
          <w:snapToGrid w:val="0"/>
          <w:spacing w:val="6"/>
          <w:kern w:val="0"/>
          <w:sz w:val="32"/>
          <w:szCs w:val="32"/>
          <w:lang w:val="en-US" w:eastAsia="zh-CN"/>
        </w:rPr>
        <w:t>。</w:t>
      </w:r>
      <w:r>
        <w:rPr>
          <w:rFonts w:hint="eastAsia" w:ascii="楷体_GB2312" w:hAnsi="楷体_GB2312" w:eastAsia="楷体_GB2312" w:cs="楷体_GB2312"/>
          <w:b/>
          <w:bCs/>
          <w:color w:val="auto"/>
          <w:sz w:val="32"/>
          <w:szCs w:val="32"/>
          <w:u w:val="none"/>
          <w:lang w:val="en-US" w:eastAsia="zh-CN"/>
        </w:rPr>
        <w:t>（三）开展风险隐患排查。</w:t>
      </w:r>
      <w:r>
        <w:rPr>
          <w:rFonts w:hint="eastAsia" w:ascii="仿宋_GB2312" w:hAnsi="仿宋_GB2312" w:eastAsia="仿宋_GB2312" w:cs="仿宋_GB2312"/>
          <w:spacing w:val="-6"/>
          <w:kern w:val="0"/>
          <w:sz w:val="32"/>
          <w:szCs w:val="32"/>
          <w:lang w:val="en-US" w:eastAsia="zh-CN"/>
        </w:rPr>
        <w:t>要坚持</w:t>
      </w:r>
      <w:r>
        <w:rPr>
          <w:rFonts w:hint="default" w:ascii="仿宋_GB2312" w:hAnsi="仿宋_GB2312" w:eastAsia="仿宋_GB2312" w:cs="仿宋_GB2312"/>
          <w:spacing w:val="-6"/>
          <w:kern w:val="0"/>
          <w:sz w:val="32"/>
          <w:szCs w:val="32"/>
          <w:lang w:val="en-US" w:eastAsia="zh-CN"/>
        </w:rPr>
        <w:t>全局谋划、统筹协调</w:t>
      </w:r>
      <w:r>
        <w:rPr>
          <w:rFonts w:hint="eastAsia" w:ascii="仿宋_GB2312" w:hAnsi="仿宋_GB2312" w:eastAsia="仿宋_GB2312" w:cs="仿宋_GB2312"/>
          <w:spacing w:val="-6"/>
          <w:kern w:val="0"/>
          <w:sz w:val="32"/>
          <w:szCs w:val="32"/>
          <w:lang w:val="en-US" w:eastAsia="zh-CN"/>
        </w:rPr>
        <w:t>、密切配合，常态化开展安全风险隐患排查，</w:t>
      </w:r>
      <w:r>
        <w:rPr>
          <w:rFonts w:hint="eastAsia" w:ascii="仿宋_GB2312" w:hAnsi="Calibri" w:eastAsia="仿宋_GB2312" w:cs="Times New Roman"/>
          <w:b w:val="0"/>
          <w:bCs w:val="0"/>
          <w:snapToGrid w:val="0"/>
          <w:spacing w:val="0"/>
          <w:kern w:val="0"/>
          <w:sz w:val="32"/>
          <w:szCs w:val="32"/>
          <w:lang w:val="en-US" w:eastAsia="zh-CN" w:bidi="ar-SA"/>
        </w:rPr>
        <w:t>抓紧补齐</w:t>
      </w:r>
      <w:r>
        <w:rPr>
          <w:rFonts w:hint="eastAsia" w:ascii="仿宋_GB2312" w:eastAsia="仿宋_GB2312" w:cs="Times New Roman"/>
          <w:b w:val="0"/>
          <w:bCs w:val="0"/>
          <w:snapToGrid w:val="0"/>
          <w:spacing w:val="0"/>
          <w:kern w:val="0"/>
          <w:sz w:val="32"/>
          <w:szCs w:val="32"/>
          <w:lang w:val="en-US" w:eastAsia="zh-CN" w:bidi="ar-SA"/>
        </w:rPr>
        <w:t>安全</w:t>
      </w:r>
      <w:r>
        <w:rPr>
          <w:rFonts w:hint="eastAsia" w:ascii="仿宋_GB2312" w:hAnsi="Calibri" w:eastAsia="仿宋_GB2312" w:cs="Times New Roman"/>
          <w:b w:val="0"/>
          <w:bCs w:val="0"/>
          <w:snapToGrid w:val="0"/>
          <w:spacing w:val="0"/>
          <w:kern w:val="0"/>
          <w:sz w:val="32"/>
          <w:szCs w:val="32"/>
          <w:lang w:val="en-US" w:eastAsia="zh-CN" w:bidi="ar-SA"/>
        </w:rPr>
        <w:t>漏洞短板</w:t>
      </w:r>
      <w:r>
        <w:rPr>
          <w:rFonts w:hint="eastAsia" w:ascii="仿宋_GB2312" w:hAnsi="仿宋_GB2312" w:eastAsia="仿宋_GB2312" w:cs="仿宋_GB2312"/>
          <w:spacing w:val="-6"/>
          <w:kern w:val="0"/>
          <w:sz w:val="32"/>
          <w:szCs w:val="32"/>
          <w:lang w:val="en-US" w:eastAsia="zh-CN"/>
        </w:rPr>
        <w:t>。其中，</w:t>
      </w:r>
      <w:r>
        <w:rPr>
          <w:rFonts w:hint="eastAsia" w:ascii="仿宋_GB2312" w:hAnsi="Calibri" w:eastAsia="仿宋_GB2312" w:cs="Times New Roman"/>
          <w:b w:val="0"/>
          <w:bCs w:val="0"/>
          <w:snapToGrid w:val="0"/>
          <w:spacing w:val="0"/>
          <w:kern w:val="0"/>
          <w:sz w:val="32"/>
          <w:szCs w:val="32"/>
          <w:lang w:val="en-US" w:eastAsia="zh-CN" w:bidi="ar-SA"/>
        </w:rPr>
        <w:t>县应急管理部门要</w:t>
      </w:r>
      <w:r>
        <w:rPr>
          <w:rFonts w:hint="eastAsia" w:ascii="仿宋_GB2312" w:hAnsi="黑体" w:eastAsia="仿宋_GB2312" w:cs="仿宋_GB2312"/>
          <w:b w:val="0"/>
          <w:bCs w:val="0"/>
          <w:snapToGrid w:val="0"/>
          <w:color w:val="auto"/>
          <w:spacing w:val="0"/>
          <w:kern w:val="0"/>
          <w:sz w:val="32"/>
          <w:szCs w:val="32"/>
          <w:u w:val="none" w:color="auto"/>
          <w:lang w:val="en-US" w:eastAsia="zh-CN" w:bidi="ar-SA"/>
        </w:rPr>
        <w:t>严格按照国务院安委会督导帮扶要求，积极开展危化品专项整治行动，牵头抓好化工领域安全生产工作；县住建部门要加</w:t>
      </w:r>
      <w:r>
        <w:rPr>
          <w:rFonts w:hint="eastAsia" w:ascii="仿宋_GB2312" w:hAnsi="仿宋_GB2312" w:eastAsia="仿宋_GB2312" w:cs="仿宋_GB2312"/>
          <w:spacing w:val="-6"/>
          <w:kern w:val="0"/>
          <w:sz w:val="32"/>
          <w:szCs w:val="32"/>
          <w:lang w:val="en-US" w:eastAsia="zh-CN"/>
        </w:rPr>
        <w:t>强建筑工地日常巡查，督促各建筑施工企业落细落实各项安全规范和流程；县综合行政执法部门要全面开展城镇燃气安全排查工作，全面排查整治燃气安全隐患问题；县教体、地震监测部门要立足职能，严格落实防溺水、防地震等各项要求措施，确保不出现安全问题。</w:t>
      </w:r>
    </w:p>
    <w:p>
      <w:pPr>
        <w:pStyle w:val="6"/>
        <w:keepNext w:val="0"/>
        <w:keepLines w:val="0"/>
        <w:pageBreakBefore w:val="0"/>
        <w:widowControl/>
        <w:tabs>
          <w:tab w:val="left" w:pos="7416"/>
        </w:tabs>
        <w:kinsoku/>
        <w:wordWrap/>
        <w:overflowPunct/>
        <w:topLinePunct w:val="0"/>
        <w:autoSpaceDE/>
        <w:autoSpaceDN/>
        <w:bidi w:val="0"/>
        <w:spacing w:line="570" w:lineRule="exact"/>
        <w:ind w:firstLine="640" w:firstLineChars="200"/>
        <w:jc w:val="both"/>
        <w:textAlignment w:val="auto"/>
        <w:rPr>
          <w:rFonts w:hint="eastAsia" w:ascii="仿宋_GB2312" w:eastAsia="仿宋_GB2312"/>
          <w:snapToGrid w:val="0"/>
          <w:spacing w:val="0"/>
          <w:kern w:val="0"/>
          <w:sz w:val="32"/>
          <w:szCs w:val="32"/>
          <w:lang w:val="en-US" w:eastAsia="zh-CN"/>
        </w:rPr>
      </w:pPr>
      <w:r>
        <w:rPr>
          <w:rFonts w:eastAsia="宋体"/>
          <w:sz w:val="32"/>
        </w:rPr>
        <mc:AlternateContent>
          <mc:Choice Requires="wps">
            <w:drawing>
              <wp:anchor distT="0" distB="0" distL="114300" distR="114300" simplePos="0" relativeHeight="251661312" behindDoc="0" locked="0" layoutInCell="1" allowOverlap="1">
                <wp:simplePos x="0" y="0"/>
                <wp:positionH relativeFrom="column">
                  <wp:posOffset>398145</wp:posOffset>
                </wp:positionH>
                <wp:positionV relativeFrom="paragraph">
                  <wp:posOffset>113030</wp:posOffset>
                </wp:positionV>
                <wp:extent cx="4984115" cy="540385"/>
                <wp:effectExtent l="4445" t="4445" r="21590" b="7620"/>
                <wp:wrapNone/>
                <wp:docPr id="2" name="文本框 2"/>
                <wp:cNvGraphicFramePr/>
                <a:graphic xmlns:a="http://schemas.openxmlformats.org/drawingml/2006/main">
                  <a:graphicData uri="http://schemas.microsoft.com/office/word/2010/wordprocessingShape">
                    <wps:wsp>
                      <wps:cNvSpPr txBox="1"/>
                      <wps:spPr>
                        <a:xfrm>
                          <a:off x="1651000" y="6836410"/>
                          <a:ext cx="4984115" cy="540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黑体" w:hAnsi="黑体" w:eastAsia="黑体" w:cs="黑体"/>
                                <w:color w:val="4F81BD" w:themeColor="accent1"/>
                                <w:sz w:val="32"/>
                                <w:szCs w:val="32"/>
                                <w:u w:val="none"/>
                                <w:lang w:val="en-US" w:eastAsia="zh-CN"/>
                                <w14:textFill>
                                  <w14:solidFill>
                                    <w14:schemeClr w14:val="accent1"/>
                                  </w14:solidFill>
                                </w14:textFill>
                              </w:rPr>
                            </w:pPr>
                            <w:r>
                              <w:rPr>
                                <w:rFonts w:hint="eastAsia" w:ascii="黑体" w:hAnsi="黑体" w:eastAsia="黑体" w:cs="黑体"/>
                                <w:color w:val="4F81BD" w:themeColor="accent1"/>
                                <w:sz w:val="32"/>
                                <w:szCs w:val="32"/>
                                <w:u w:val="none"/>
                                <w:lang w:val="en-US" w:eastAsia="zh-CN"/>
                                <w14:textFill>
                                  <w14:solidFill>
                                    <w14:schemeClr w14:val="accent1"/>
                                  </w14:solidFill>
                                </w14:textFill>
                              </w:rPr>
                              <w:t>三</w:t>
                            </w:r>
                            <w:r>
                              <w:rPr>
                                <w:rFonts w:hint="eastAsia" w:ascii="黑体" w:hAnsi="黑体" w:eastAsia="黑体" w:cs="黑体"/>
                                <w:color w:val="4F81BD" w:themeColor="accent1"/>
                                <w:sz w:val="32"/>
                                <w:szCs w:val="32"/>
                                <w:u w:val="none"/>
                                <w:lang w:eastAsia="zh-CN"/>
                                <w14:textFill>
                                  <w14:solidFill>
                                    <w14:schemeClr w14:val="accent1"/>
                                  </w14:solidFill>
                                </w14:textFill>
                              </w:rPr>
                              <w:t>、</w:t>
                            </w:r>
                            <w:r>
                              <w:rPr>
                                <w:rFonts w:hint="eastAsia" w:ascii="黑体" w:hAnsi="黑体" w:eastAsia="黑体" w:cs="黑体"/>
                                <w:color w:val="4F81BD" w:themeColor="accent1"/>
                                <w:sz w:val="32"/>
                                <w:szCs w:val="32"/>
                                <w:u w:val="none"/>
                                <w:lang w:val="en-US" w:eastAsia="zh-CN"/>
                                <w14:textFill>
                                  <w14:solidFill>
                                    <w14:schemeClr w14:val="accent1"/>
                                  </w14:solidFill>
                                </w14:textFill>
                              </w:rPr>
                              <w:t>关于工业经济运行工作</w:t>
                            </w:r>
                          </w:p>
                          <w:p>
                            <w:pPr>
                              <w:jc w:val="both"/>
                              <w:rPr>
                                <w:rFonts w:hint="eastAsia" w:ascii="黑体" w:hAnsi="黑体" w:eastAsia="黑体" w:cs="黑体"/>
                                <w:color w:val="4F81BD" w:themeColor="accent1"/>
                                <w:sz w:val="32"/>
                                <w:szCs w:val="32"/>
                                <w:u w:val="none"/>
                                <w:lang w:val="en-US" w:eastAsia="zh-CN"/>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35pt;margin-top:8.9pt;height:42.55pt;width:392.45pt;z-index:251661312;mso-width-relative:page;mso-height-relative:page;" fillcolor="#FFFFFF [3201]" filled="t" stroked="t" coordsize="21600,21600" o:gfxdata="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zN4YfdUAAAAJAQAADwAAAAAAAAABACAAAAAiAAAAZHJzL2Rvd25yZXYueG1sUEsB&#10;AhQAFAAAAAgAh07iQN5ARWxqAgAA0QQAAA4AAAAAAAAAAQAgAAAAJAEAAGRycy9lMm9Eb2MueG1s&#10;UEsFBgAAAAAGAAYAWQEAAAAGAAAAAA==&#10;">
                <v:fill on="t" focussize="0,0"/>
                <v:stroke weight="0.5pt" color="#000000 [3204]" joinstyle="round"/>
                <v:imagedata o:title=""/>
                <o:lock v:ext="edit" aspectratio="f"/>
                <v:textbox>
                  <w:txbxContent>
                    <w:p>
                      <w:pPr>
                        <w:jc w:val="both"/>
                        <w:rPr>
                          <w:rFonts w:hint="eastAsia" w:ascii="黑体" w:hAnsi="黑体" w:eastAsia="黑体" w:cs="黑体"/>
                          <w:color w:val="4F81BD" w:themeColor="accent1"/>
                          <w:sz w:val="32"/>
                          <w:szCs w:val="32"/>
                          <w:u w:val="none"/>
                          <w:lang w:val="en-US" w:eastAsia="zh-CN"/>
                          <w14:textFill>
                            <w14:solidFill>
                              <w14:schemeClr w14:val="accent1"/>
                            </w14:solidFill>
                          </w14:textFill>
                        </w:rPr>
                      </w:pPr>
                      <w:r>
                        <w:rPr>
                          <w:rFonts w:hint="eastAsia" w:ascii="黑体" w:hAnsi="黑体" w:eastAsia="黑体" w:cs="黑体"/>
                          <w:color w:val="4F81BD" w:themeColor="accent1"/>
                          <w:sz w:val="32"/>
                          <w:szCs w:val="32"/>
                          <w:u w:val="none"/>
                          <w:lang w:val="en-US" w:eastAsia="zh-CN"/>
                          <w14:textFill>
                            <w14:solidFill>
                              <w14:schemeClr w14:val="accent1"/>
                            </w14:solidFill>
                          </w14:textFill>
                        </w:rPr>
                        <w:t>三</w:t>
                      </w:r>
                      <w:r>
                        <w:rPr>
                          <w:rFonts w:hint="eastAsia" w:ascii="黑体" w:hAnsi="黑体" w:eastAsia="黑体" w:cs="黑体"/>
                          <w:color w:val="4F81BD" w:themeColor="accent1"/>
                          <w:sz w:val="32"/>
                          <w:szCs w:val="32"/>
                          <w:u w:val="none"/>
                          <w:lang w:eastAsia="zh-CN"/>
                          <w14:textFill>
                            <w14:solidFill>
                              <w14:schemeClr w14:val="accent1"/>
                            </w14:solidFill>
                          </w14:textFill>
                        </w:rPr>
                        <w:t>、</w:t>
                      </w:r>
                      <w:r>
                        <w:rPr>
                          <w:rFonts w:hint="eastAsia" w:ascii="黑体" w:hAnsi="黑体" w:eastAsia="黑体" w:cs="黑体"/>
                          <w:color w:val="4F81BD" w:themeColor="accent1"/>
                          <w:sz w:val="32"/>
                          <w:szCs w:val="32"/>
                          <w:u w:val="none"/>
                          <w:lang w:val="en-US" w:eastAsia="zh-CN"/>
                          <w14:textFill>
                            <w14:solidFill>
                              <w14:schemeClr w14:val="accent1"/>
                            </w14:solidFill>
                          </w14:textFill>
                        </w:rPr>
                        <w:t>关于工业经济运行工作</w:t>
                      </w:r>
                    </w:p>
                    <w:p>
                      <w:pPr>
                        <w:jc w:val="both"/>
                        <w:rPr>
                          <w:rFonts w:hint="eastAsia" w:ascii="黑体" w:hAnsi="黑体" w:eastAsia="黑体" w:cs="黑体"/>
                          <w:color w:val="4F81BD" w:themeColor="accent1"/>
                          <w:sz w:val="32"/>
                          <w:szCs w:val="32"/>
                          <w:u w:val="none"/>
                          <w:lang w:val="en-US" w:eastAsia="zh-CN"/>
                          <w14:textFill>
                            <w14:solidFill>
                              <w14:schemeClr w14:val="accent1"/>
                            </w14:solidFill>
                          </w14:textFill>
                        </w:rPr>
                      </w:pPr>
                    </w:p>
                  </w:txbxContent>
                </v:textbox>
              </v:shape>
            </w:pict>
          </mc:Fallback>
        </mc:AlternateContent>
      </w:r>
    </w:p>
    <w:p>
      <w:pPr>
        <w:pStyle w:val="6"/>
        <w:keepNext w:val="0"/>
        <w:keepLines w:val="0"/>
        <w:pageBreakBefore w:val="0"/>
        <w:widowControl/>
        <w:tabs>
          <w:tab w:val="left" w:pos="7416"/>
        </w:tabs>
        <w:kinsoku/>
        <w:wordWrap/>
        <w:overflowPunct/>
        <w:topLinePunct w:val="0"/>
        <w:autoSpaceDE/>
        <w:autoSpaceDN/>
        <w:bidi w:val="0"/>
        <w:spacing w:line="570" w:lineRule="exact"/>
        <w:ind w:firstLine="640" w:firstLineChars="200"/>
        <w:jc w:val="both"/>
        <w:textAlignment w:val="auto"/>
        <w:rPr>
          <w:rFonts w:hint="eastAsia" w:ascii="仿宋_GB2312" w:eastAsia="仿宋_GB2312"/>
          <w:snapToGrid w:val="0"/>
          <w:spacing w:val="0"/>
          <w:kern w:val="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16" w:firstLineChars="200"/>
        <w:jc w:val="both"/>
        <w:textAlignment w:val="auto"/>
        <w:rPr>
          <w:rFonts w:hint="default"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会议原则同意县工信部门提报的《关于贯彻落实&lt;菏泽市工业经济“强基固本 提质增效”三年行动计划（2023-2025年）&gt;若干措施》,待进一步修改完善后，按照规定程序报县委常委会审议。会议确定，</w:t>
      </w:r>
      <w:r>
        <w:rPr>
          <w:rFonts w:hint="eastAsia" w:ascii="楷体_GB2312" w:hAnsi="楷体_GB2312" w:eastAsia="楷体_GB2312" w:cs="楷体_GB2312"/>
          <w:b/>
          <w:bCs/>
          <w:color w:val="auto"/>
          <w:sz w:val="32"/>
          <w:szCs w:val="32"/>
          <w:u w:val="none"/>
          <w:lang w:val="en-US" w:eastAsia="zh-CN"/>
        </w:rPr>
        <w:t>（一）抢抓机遇。</w:t>
      </w:r>
      <w:r>
        <w:rPr>
          <w:rFonts w:hint="eastAsia" w:ascii="仿宋_GB2312" w:hAnsi="仿宋_GB2312" w:eastAsia="仿宋_GB2312" w:cs="仿宋_GB2312"/>
          <w:spacing w:val="-6"/>
          <w:kern w:val="0"/>
          <w:sz w:val="32"/>
          <w:szCs w:val="32"/>
          <w:lang w:val="en-US" w:eastAsia="zh-CN"/>
        </w:rPr>
        <w:t>省委、省政府高度重视工业经济发展，全力支持高端化工等重点产业突破。各级各部门要全力抢抓全省“一基地、两集群”政策机遇，加快推进东明石化30万吨UPC科技试验工程、1500万吨炼化一体化等重点项目布局和建设，全力打造</w:t>
      </w:r>
      <w:r>
        <w:rPr>
          <w:rFonts w:hint="default" w:ascii="仿宋_GB2312" w:hAnsi="仿宋_GB2312" w:eastAsia="仿宋_GB2312" w:cs="仿宋_GB2312"/>
          <w:spacing w:val="-6"/>
          <w:kern w:val="0"/>
          <w:sz w:val="32"/>
          <w:szCs w:val="32"/>
          <w:lang w:val="en-US" w:eastAsia="zh-CN"/>
        </w:rPr>
        <w:t>全省高端化工产业集聚区</w:t>
      </w:r>
      <w:r>
        <w:rPr>
          <w:rFonts w:hint="eastAsia" w:ascii="仿宋_GB2312" w:hAnsi="仿宋_GB2312" w:eastAsia="仿宋_GB2312" w:cs="仿宋_GB2312"/>
          <w:spacing w:val="-6"/>
          <w:kern w:val="0"/>
          <w:sz w:val="32"/>
          <w:szCs w:val="32"/>
          <w:lang w:val="en-US" w:eastAsia="zh-CN"/>
        </w:rPr>
        <w:t>、新高地。</w:t>
      </w:r>
      <w:r>
        <w:rPr>
          <w:rFonts w:hint="eastAsia" w:ascii="楷体_GB2312" w:hAnsi="楷体_GB2312" w:eastAsia="楷体_GB2312" w:cs="楷体_GB2312"/>
          <w:b/>
          <w:bCs/>
          <w:color w:val="auto"/>
          <w:sz w:val="32"/>
          <w:szCs w:val="32"/>
          <w:u w:val="none"/>
          <w:lang w:val="en-US" w:eastAsia="zh-CN"/>
        </w:rPr>
        <w:t>（二）认真研究。</w:t>
      </w:r>
      <w:r>
        <w:rPr>
          <w:rFonts w:hint="eastAsia" w:ascii="仿宋_GB2312" w:hAnsi="仿宋_GB2312" w:eastAsia="仿宋_GB2312" w:cs="仿宋_GB2312"/>
          <w:spacing w:val="-6"/>
          <w:kern w:val="0"/>
          <w:sz w:val="32"/>
          <w:szCs w:val="32"/>
          <w:lang w:val="en-US" w:eastAsia="zh-CN"/>
        </w:rPr>
        <w:t>县工信、市场监管、发改、商务、林业等产业链牵头部门要立足自身职责，结合我县实际，认真研究上级产业发展政策，聚焦高端化工、生物医药、商贸物流等9大重点板块、重点领域，积极开展延链补链强链行动，以重点突破引领县域经济整体提升。</w:t>
      </w:r>
      <w:r>
        <w:rPr>
          <w:rFonts w:hint="eastAsia" w:ascii="楷体_GB2312" w:hAnsi="楷体_GB2312" w:eastAsia="楷体_GB2312" w:cs="楷体_GB2312"/>
          <w:b/>
          <w:bCs/>
          <w:color w:val="auto"/>
          <w:sz w:val="32"/>
          <w:szCs w:val="32"/>
          <w:u w:val="none"/>
          <w:lang w:val="en-US" w:eastAsia="zh-CN"/>
        </w:rPr>
        <w:t>（三）抓好对接。</w:t>
      </w:r>
      <w:r>
        <w:rPr>
          <w:rFonts w:hint="eastAsia" w:ascii="仿宋_GB2312" w:hAnsi="仿宋_GB2312" w:eastAsia="仿宋_GB2312" w:cs="仿宋_GB2312"/>
          <w:spacing w:val="-6"/>
          <w:kern w:val="0"/>
          <w:sz w:val="32"/>
          <w:szCs w:val="32"/>
          <w:lang w:val="en-US" w:eastAsia="zh-CN"/>
        </w:rPr>
        <w:t>县工信、发改、商务等部门要积极与市重点产业链长制办公室等上级相关部门沟通协调，按照全市工业经济“强基固本 提质增效”暨“千项技改 千企转型”会议部署和要求，研究制定产业链图谱,精准开展招商引资，加快产业结构调整，全力推动工业经济提档升级、提质跃升。</w:t>
      </w:r>
    </w:p>
    <w:p>
      <w:pPr>
        <w:pStyle w:val="6"/>
        <w:keepNext w:val="0"/>
        <w:keepLines w:val="0"/>
        <w:pageBreakBefore w:val="0"/>
        <w:widowControl/>
        <w:tabs>
          <w:tab w:val="left" w:pos="7416"/>
        </w:tabs>
        <w:kinsoku/>
        <w:wordWrap/>
        <w:overflowPunct/>
        <w:topLinePunct w:val="0"/>
        <w:autoSpaceDE/>
        <w:autoSpaceDN/>
        <w:bidi w:val="0"/>
        <w:spacing w:line="570" w:lineRule="exact"/>
        <w:ind w:firstLine="640" w:firstLineChars="200"/>
        <w:jc w:val="both"/>
        <w:textAlignment w:val="auto"/>
        <w:rPr>
          <w:rFonts w:hint="eastAsia" w:ascii="仿宋_GB2312" w:hAnsi="仿宋_GB2312" w:eastAsia="仿宋_GB2312" w:cs="仿宋_GB2312"/>
          <w:sz w:val="32"/>
          <w:szCs w:val="40"/>
          <w:lang w:val="en-US" w:eastAsia="zh-CN"/>
        </w:rPr>
      </w:pPr>
    </w:p>
    <w:p>
      <w:pPr>
        <w:pStyle w:val="6"/>
        <w:keepNext w:val="0"/>
        <w:keepLines w:val="0"/>
        <w:pageBreakBefore w:val="0"/>
        <w:widowControl/>
        <w:tabs>
          <w:tab w:val="left" w:pos="7416"/>
        </w:tabs>
        <w:kinsoku/>
        <w:wordWrap/>
        <w:overflowPunct/>
        <w:topLinePunct w:val="0"/>
        <w:autoSpaceDE/>
        <w:autoSpaceDN/>
        <w:bidi w:val="0"/>
        <w:spacing w:line="570" w:lineRule="exact"/>
        <w:ind w:firstLine="640" w:firstLineChars="200"/>
        <w:jc w:val="both"/>
        <w:textAlignment w:val="auto"/>
        <w:rPr>
          <w:rFonts w:hint="eastAsia" w:ascii="仿宋_GB2312" w:hAnsi="仿宋_GB2312" w:eastAsia="仿宋_GB2312" w:cs="仿宋_GB2312"/>
          <w:b w:val="0"/>
          <w:bCs w:val="0"/>
          <w:sz w:val="32"/>
          <w:szCs w:val="40"/>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-47625</wp:posOffset>
              </wp:positionV>
              <wp:extent cx="613410" cy="3460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13410" cy="346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75pt;height:27.25pt;width:48.3pt;mso-position-horizontal:center;mso-position-horizontal-relative:margin;z-index:251659264;mso-width-relative:page;mso-height-relative:page;" filled="f" stroked="f" coordsize="21600,21600" o:gfxdata="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4jDtUAAAAFAQAADwAAAAAAAAABACAAAAAiAAAAZHJzL2Rvd25yZXYu&#10;eG1sUEsBAhQAFAAAAAgAh07iQAEkZfE3AgAAYQQAAA4AAAAAAAAAAQAgAAAAJAEAAGRycy9lMm9E&#10;b2MueG1sUEsFBgAAAAAGAAYAWQEAAM0FAAAAAA==&#10;">
              <v:fill on="f" focussize="0,0"/>
              <v:stroke on="f" weight="0.5pt"/>
              <v:imagedata o:title=""/>
              <o:lock v:ext="edit" aspectratio="f"/>
              <v:textbox inset="0mm,0mm,0mm,0mm">
                <w:txbxContent>
                  <w:p>
                    <w:pPr>
                      <w:pStyle w:val="4"/>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M2MxOTZhMWIxZmYwZGU5YTBhNjA1OTA2OGRlYzQifQ=="/>
  </w:docVars>
  <w:rsids>
    <w:rsidRoot w:val="582E2465"/>
    <w:rsid w:val="00061D99"/>
    <w:rsid w:val="0040028D"/>
    <w:rsid w:val="00456CEB"/>
    <w:rsid w:val="00533A19"/>
    <w:rsid w:val="0086524D"/>
    <w:rsid w:val="00C41EA7"/>
    <w:rsid w:val="03947474"/>
    <w:rsid w:val="03DD4E84"/>
    <w:rsid w:val="04DE21B6"/>
    <w:rsid w:val="07661F15"/>
    <w:rsid w:val="07EE20F0"/>
    <w:rsid w:val="09614965"/>
    <w:rsid w:val="09A83EA7"/>
    <w:rsid w:val="09F86006"/>
    <w:rsid w:val="0B166D94"/>
    <w:rsid w:val="0B821D4D"/>
    <w:rsid w:val="0BA92C4E"/>
    <w:rsid w:val="0BE55EC5"/>
    <w:rsid w:val="0C3E5E91"/>
    <w:rsid w:val="0DBF06AB"/>
    <w:rsid w:val="0E250715"/>
    <w:rsid w:val="0E2804C4"/>
    <w:rsid w:val="0F0E63E2"/>
    <w:rsid w:val="0F104F85"/>
    <w:rsid w:val="0F452E31"/>
    <w:rsid w:val="0FC50B9C"/>
    <w:rsid w:val="1154735C"/>
    <w:rsid w:val="12885D55"/>
    <w:rsid w:val="13053004"/>
    <w:rsid w:val="139C0FE0"/>
    <w:rsid w:val="148D576F"/>
    <w:rsid w:val="15400323"/>
    <w:rsid w:val="15BA2A19"/>
    <w:rsid w:val="163F4A7E"/>
    <w:rsid w:val="17C73E7F"/>
    <w:rsid w:val="18624A54"/>
    <w:rsid w:val="190A20A1"/>
    <w:rsid w:val="19595E57"/>
    <w:rsid w:val="1AC007BD"/>
    <w:rsid w:val="1C1C4614"/>
    <w:rsid w:val="1C8B7D89"/>
    <w:rsid w:val="1CBC63DE"/>
    <w:rsid w:val="1D1625A9"/>
    <w:rsid w:val="1D525097"/>
    <w:rsid w:val="1F2A6F09"/>
    <w:rsid w:val="1FF83D99"/>
    <w:rsid w:val="20496DE0"/>
    <w:rsid w:val="2161109B"/>
    <w:rsid w:val="2176514F"/>
    <w:rsid w:val="23417542"/>
    <w:rsid w:val="238476EC"/>
    <w:rsid w:val="23957A8C"/>
    <w:rsid w:val="23C30B65"/>
    <w:rsid w:val="24160BCB"/>
    <w:rsid w:val="24857440"/>
    <w:rsid w:val="24AC1654"/>
    <w:rsid w:val="24B35703"/>
    <w:rsid w:val="24E706AB"/>
    <w:rsid w:val="26693999"/>
    <w:rsid w:val="293536E0"/>
    <w:rsid w:val="2A280C51"/>
    <w:rsid w:val="2B2D0EF2"/>
    <w:rsid w:val="2C7A15CE"/>
    <w:rsid w:val="2CAC7A29"/>
    <w:rsid w:val="2CBE188A"/>
    <w:rsid w:val="2CF00429"/>
    <w:rsid w:val="2FA63C08"/>
    <w:rsid w:val="30751371"/>
    <w:rsid w:val="3097418D"/>
    <w:rsid w:val="31F7045F"/>
    <w:rsid w:val="32025E59"/>
    <w:rsid w:val="32A1298E"/>
    <w:rsid w:val="332507E2"/>
    <w:rsid w:val="346E7AF4"/>
    <w:rsid w:val="34EC6618"/>
    <w:rsid w:val="36401646"/>
    <w:rsid w:val="372C02AF"/>
    <w:rsid w:val="37717380"/>
    <w:rsid w:val="37A4078E"/>
    <w:rsid w:val="37A74112"/>
    <w:rsid w:val="37C71A5E"/>
    <w:rsid w:val="37F61ECE"/>
    <w:rsid w:val="3AA5255F"/>
    <w:rsid w:val="3AF02308"/>
    <w:rsid w:val="3C727B41"/>
    <w:rsid w:val="3EF14A26"/>
    <w:rsid w:val="3F15211D"/>
    <w:rsid w:val="3F315B44"/>
    <w:rsid w:val="40E60016"/>
    <w:rsid w:val="40E92616"/>
    <w:rsid w:val="418A640C"/>
    <w:rsid w:val="41EB5808"/>
    <w:rsid w:val="42C41C45"/>
    <w:rsid w:val="432542DD"/>
    <w:rsid w:val="43A34B39"/>
    <w:rsid w:val="45C25517"/>
    <w:rsid w:val="46471004"/>
    <w:rsid w:val="49BC0864"/>
    <w:rsid w:val="4CA82B28"/>
    <w:rsid w:val="4DAA5567"/>
    <w:rsid w:val="4FC71ECB"/>
    <w:rsid w:val="51036EF4"/>
    <w:rsid w:val="538B6687"/>
    <w:rsid w:val="55FD05D1"/>
    <w:rsid w:val="56600105"/>
    <w:rsid w:val="582E2465"/>
    <w:rsid w:val="589F7B18"/>
    <w:rsid w:val="59711A3C"/>
    <w:rsid w:val="5B1234C3"/>
    <w:rsid w:val="5BC75FC7"/>
    <w:rsid w:val="5EDD7F5D"/>
    <w:rsid w:val="60DE69F5"/>
    <w:rsid w:val="621A0AA7"/>
    <w:rsid w:val="62744604"/>
    <w:rsid w:val="63F90DF5"/>
    <w:rsid w:val="64086D88"/>
    <w:rsid w:val="64DD2D34"/>
    <w:rsid w:val="650507E3"/>
    <w:rsid w:val="659B2E6D"/>
    <w:rsid w:val="66F52DFD"/>
    <w:rsid w:val="67EB1865"/>
    <w:rsid w:val="688E543E"/>
    <w:rsid w:val="691C0BCF"/>
    <w:rsid w:val="69F00D2E"/>
    <w:rsid w:val="6A0267DD"/>
    <w:rsid w:val="6A521800"/>
    <w:rsid w:val="6AC01C9F"/>
    <w:rsid w:val="6BDD5CF2"/>
    <w:rsid w:val="6C2C14E7"/>
    <w:rsid w:val="6C522403"/>
    <w:rsid w:val="6DB524A4"/>
    <w:rsid w:val="6E676FB8"/>
    <w:rsid w:val="6F241860"/>
    <w:rsid w:val="6F34488D"/>
    <w:rsid w:val="6F982664"/>
    <w:rsid w:val="6FDF3AB7"/>
    <w:rsid w:val="712C356D"/>
    <w:rsid w:val="718C519E"/>
    <w:rsid w:val="71C8684B"/>
    <w:rsid w:val="736B7650"/>
    <w:rsid w:val="73B77931"/>
    <w:rsid w:val="73F32E12"/>
    <w:rsid w:val="741B4FE9"/>
    <w:rsid w:val="742066E6"/>
    <w:rsid w:val="761F0029"/>
    <w:rsid w:val="762B0BE5"/>
    <w:rsid w:val="76983789"/>
    <w:rsid w:val="76DC6AA1"/>
    <w:rsid w:val="772E7FCE"/>
    <w:rsid w:val="77F3503C"/>
    <w:rsid w:val="781D3B2E"/>
    <w:rsid w:val="79365F00"/>
    <w:rsid w:val="7BA50778"/>
    <w:rsid w:val="7CE6714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locked/>
    <w:uiPriority w:val="0"/>
    <w:pPr>
      <w:keepNext/>
      <w:keepLines/>
      <w:widowControl w:val="0"/>
      <w:spacing w:line="560" w:lineRule="exact"/>
      <w:ind w:firstLine="720" w:firstLineChars="200"/>
      <w:jc w:val="both"/>
      <w:outlineLvl w:val="1"/>
    </w:pPr>
    <w:rPr>
      <w:rFonts w:ascii="Calibri" w:hAnsi="Calibri" w:eastAsia="黑体" w:cs="Times New Roman"/>
      <w:kern w:val="2"/>
      <w:sz w:val="21"/>
      <w:szCs w:val="24"/>
      <w:lang w:val="en-US" w:eastAsia="zh-CN" w:bidi="ar-SA"/>
    </w:rPr>
  </w:style>
  <w:style w:type="paragraph" w:styleId="3">
    <w:name w:val="heading 3"/>
    <w:next w:val="1"/>
    <w:unhideWhenUsed/>
    <w:qFormat/>
    <w:locked/>
    <w:uiPriority w:val="0"/>
    <w:pPr>
      <w:widowControl w:val="0"/>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jc w:val="left"/>
    </w:pPr>
    <w:rPr>
      <w:kern w:val="0"/>
      <w:sz w:val="24"/>
      <w:szCs w:val="24"/>
    </w:rPr>
  </w:style>
  <w:style w:type="character" w:styleId="9">
    <w:name w:val="Strong"/>
    <w:basedOn w:val="8"/>
    <w:qFormat/>
    <w:locked/>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1463</Words>
  <Characters>1475</Characters>
  <Lines>0</Lines>
  <Paragraphs>0</Paragraphs>
  <TotalTime>0</TotalTime>
  <ScaleCrop>false</ScaleCrop>
  <LinksUpToDate>false</LinksUpToDate>
  <CharactersWithSpaces>1475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2018-01-17T02:39:00Z</dcterms:created>
  <dc:creator>zhs</dc:creator>
  <cp:lastModifiedBy>Lrnihao</cp:lastModifiedBy>
  <cp:lastPrinted>2023-07-06T04:00:00Z</cp:lastPrinted>
  <dcterms:modified xsi:type="dcterms:W3CDTF">2023-09-27T09:18:02Z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7AFFBE1A3F374871A95312D287260F4F_13</vt:lpwstr>
  </property>
</Properties>
</file>